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4258" w14:textId="77777777" w:rsidR="00307578" w:rsidRDefault="00307578" w:rsidP="00307578">
      <w:pPr>
        <w:pStyle w:val="NormalWeb"/>
        <w:jc w:val="center"/>
      </w:pPr>
      <w:r>
        <w:rPr>
          <w:rStyle w:val="Strong"/>
          <w:rFonts w:ascii="Arial" w:hAnsi="Arial" w:cs="Arial"/>
          <w:sz w:val="20"/>
          <w:szCs w:val="20"/>
        </w:rPr>
        <w:t>Department of Health Provides Monthly Update on COVID-19 Trends  </w:t>
      </w:r>
    </w:p>
    <w:p w14:paraId="6AC22ED0" w14:textId="77777777" w:rsidR="00307578" w:rsidRDefault="00307578" w:rsidP="00307578">
      <w:pPr>
        <w:pStyle w:val="NormalWeb"/>
      </w:pPr>
      <w:r>
        <w:rPr>
          <w:rStyle w:val="Strong"/>
          <w:rFonts w:ascii="Arial" w:hAnsi="Arial" w:cs="Arial"/>
          <w:sz w:val="20"/>
          <w:szCs w:val="20"/>
        </w:rPr>
        <w:t> </w:t>
      </w:r>
      <w:r>
        <w:br/>
      </w:r>
      <w:r>
        <w:rPr>
          <w:rStyle w:val="Strong"/>
          <w:rFonts w:ascii="Arial" w:hAnsi="Arial" w:cs="Arial"/>
          <w:sz w:val="20"/>
          <w:szCs w:val="20"/>
        </w:rPr>
        <w:t>Harrisburg, PA</w:t>
      </w:r>
      <w:r>
        <w:rPr>
          <w:rFonts w:ascii="Arial" w:hAnsi="Arial" w:cs="Arial"/>
          <w:sz w:val="20"/>
          <w:szCs w:val="20"/>
        </w:rPr>
        <w:t xml:space="preserve"> – Today, the Pennsylvania Department of Health provides a summary of COVID-19 information for May 2022.  </w:t>
      </w:r>
    </w:p>
    <w:p w14:paraId="368AE3B7" w14:textId="77777777" w:rsidR="00307578" w:rsidRDefault="00307578" w:rsidP="00307578">
      <w:pPr>
        <w:pStyle w:val="NormalWeb"/>
      </w:pPr>
      <w:r>
        <w:rPr>
          <w:rFonts w:ascii="Arial" w:hAnsi="Arial" w:cs="Arial"/>
          <w:sz w:val="20"/>
          <w:szCs w:val="20"/>
        </w:rPr>
        <w:t xml:space="preserve">“COVID-19 trends can vary across communities that is why it is important to use the </w:t>
      </w:r>
      <w:hyperlink r:id="rId5" w:tgtFrame="_blank" w:history="1">
        <w:r>
          <w:rPr>
            <w:rStyle w:val="Hyperlink"/>
            <w:rFonts w:ascii="Arial" w:hAnsi="Arial" w:cs="Arial"/>
            <w:sz w:val="20"/>
            <w:szCs w:val="20"/>
          </w:rPr>
          <w:t>CDC’s community level tracker website</w:t>
        </w:r>
      </w:hyperlink>
      <w:r>
        <w:rPr>
          <w:rFonts w:ascii="Arial" w:hAnsi="Arial" w:cs="Arial"/>
          <w:sz w:val="20"/>
          <w:szCs w:val="20"/>
        </w:rPr>
        <w:t xml:space="preserve"> to see the risk of COVID-19 by county and find recommendations to prevent spreading the virus,” Department of Health Acting Secretary and Physician General Dr. Denise Johnson said. “We have access to the right tools to fight the spread of COVID-19 like wearing a mask and getting tested. Regardless of what community level, we know getting fully vaccinated and boosted offers the best protection against this virus.” </w:t>
      </w:r>
    </w:p>
    <w:p w14:paraId="094EAA84" w14:textId="77777777" w:rsidR="00307578" w:rsidRDefault="00307578" w:rsidP="00307578">
      <w:pPr>
        <w:pStyle w:val="NormalWeb"/>
      </w:pPr>
      <w:r>
        <w:rPr>
          <w:rStyle w:val="Strong"/>
          <w:rFonts w:ascii="Arial" w:hAnsi="Arial" w:cs="Arial"/>
          <w:sz w:val="20"/>
          <w:szCs w:val="20"/>
        </w:rPr>
        <w:t>May Update  </w:t>
      </w:r>
    </w:p>
    <w:p w14:paraId="29F044EC" w14:textId="77777777" w:rsidR="00307578" w:rsidRDefault="00307578" w:rsidP="00307578">
      <w:pPr>
        <w:pStyle w:val="NormalWeb"/>
      </w:pPr>
      <w:r>
        <w:rPr>
          <w:rFonts w:ascii="Arial" w:hAnsi="Arial" w:cs="Arial"/>
          <w:sz w:val="20"/>
          <w:szCs w:val="20"/>
        </w:rPr>
        <w:t>The following summary is provided to reflect the trends between May 1 to 31, 2022: </w:t>
      </w:r>
    </w:p>
    <w:p w14:paraId="0190E9B4" w14:textId="77777777" w:rsidR="00307578" w:rsidRDefault="00307578" w:rsidP="00307578">
      <w:pPr>
        <w:numPr>
          <w:ilvl w:val="0"/>
          <w:numId w:val="1"/>
        </w:numPr>
        <w:spacing w:before="100" w:beforeAutospacing="1" w:after="100" w:afterAutospacing="1"/>
        <w:rPr>
          <w:rFonts w:eastAsia="Times New Roman"/>
        </w:rPr>
      </w:pPr>
      <w:r>
        <w:rPr>
          <w:rFonts w:ascii="Arial" w:eastAsia="Times New Roman" w:hAnsi="Arial" w:cs="Arial"/>
          <w:sz w:val="20"/>
          <w:szCs w:val="20"/>
        </w:rPr>
        <w:t>Following the CDC approval of second doses, there was a large increase in total vaccinations in May – more than doubling April’s total vaccinations. A total of 402,303 COVID-19 vaccines were administered averaging 12,978 doses per day including: </w:t>
      </w:r>
    </w:p>
    <w:p w14:paraId="2F625B4F" w14:textId="77777777" w:rsidR="00307578" w:rsidRDefault="00307578" w:rsidP="00307578">
      <w:pPr>
        <w:numPr>
          <w:ilvl w:val="1"/>
          <w:numId w:val="1"/>
        </w:numPr>
        <w:spacing w:before="100" w:beforeAutospacing="1" w:after="100" w:afterAutospacing="1"/>
        <w:rPr>
          <w:rFonts w:eastAsia="Times New Roman"/>
        </w:rPr>
      </w:pPr>
      <w:r>
        <w:rPr>
          <w:rFonts w:ascii="Arial" w:eastAsia="Times New Roman" w:hAnsi="Arial" w:cs="Arial"/>
          <w:sz w:val="20"/>
          <w:szCs w:val="20"/>
        </w:rPr>
        <w:t>72,266 additional doses</w:t>
      </w:r>
    </w:p>
    <w:p w14:paraId="6B55B306" w14:textId="77777777" w:rsidR="00307578" w:rsidRDefault="00307578" w:rsidP="00307578">
      <w:pPr>
        <w:numPr>
          <w:ilvl w:val="1"/>
          <w:numId w:val="1"/>
        </w:numPr>
        <w:spacing w:before="100" w:beforeAutospacing="1" w:after="100" w:afterAutospacing="1"/>
        <w:rPr>
          <w:rFonts w:eastAsia="Times New Roman"/>
        </w:rPr>
      </w:pPr>
      <w:r>
        <w:rPr>
          <w:rFonts w:ascii="Arial" w:eastAsia="Times New Roman" w:hAnsi="Arial" w:cs="Arial"/>
          <w:sz w:val="20"/>
          <w:szCs w:val="20"/>
        </w:rPr>
        <w:t>208,908 second additional doses</w:t>
      </w:r>
    </w:p>
    <w:p w14:paraId="51C1E3E7" w14:textId="77777777" w:rsidR="00307578" w:rsidRDefault="00307578" w:rsidP="00307578">
      <w:pPr>
        <w:numPr>
          <w:ilvl w:val="1"/>
          <w:numId w:val="1"/>
        </w:numPr>
        <w:spacing w:before="100" w:beforeAutospacing="1" w:after="100" w:afterAutospacing="1"/>
        <w:rPr>
          <w:rFonts w:eastAsia="Times New Roman"/>
        </w:rPr>
      </w:pPr>
      <w:r>
        <w:rPr>
          <w:rFonts w:ascii="Arial" w:eastAsia="Times New Roman" w:hAnsi="Arial" w:cs="Arial"/>
          <w:sz w:val="20"/>
          <w:szCs w:val="20"/>
        </w:rPr>
        <w:t>10,920 pediatric doses </w:t>
      </w:r>
    </w:p>
    <w:p w14:paraId="1650FAC0" w14:textId="77777777" w:rsidR="00307578" w:rsidRDefault="00307578" w:rsidP="00307578">
      <w:pPr>
        <w:numPr>
          <w:ilvl w:val="0"/>
          <w:numId w:val="2"/>
        </w:numPr>
        <w:spacing w:before="100" w:beforeAutospacing="1" w:after="100" w:afterAutospacing="1"/>
        <w:rPr>
          <w:rFonts w:eastAsia="Times New Roman"/>
        </w:rPr>
      </w:pPr>
      <w:r>
        <w:rPr>
          <w:rFonts w:ascii="Arial" w:eastAsia="Times New Roman" w:hAnsi="Arial" w:cs="Arial"/>
          <w:sz w:val="20"/>
          <w:szCs w:val="20"/>
        </w:rPr>
        <w:t>A total of 111,011 new COVID-19 cases were reported averaging 3,581 per day in May  </w:t>
      </w:r>
    </w:p>
    <w:p w14:paraId="3BB04575" w14:textId="77777777" w:rsidR="00307578" w:rsidRDefault="00307578" w:rsidP="00307578">
      <w:pPr>
        <w:numPr>
          <w:ilvl w:val="0"/>
          <w:numId w:val="2"/>
        </w:numPr>
        <w:spacing w:before="100" w:beforeAutospacing="1" w:after="100" w:afterAutospacing="1"/>
        <w:rPr>
          <w:rFonts w:eastAsia="Times New Roman"/>
        </w:rPr>
      </w:pPr>
      <w:r>
        <w:rPr>
          <w:rFonts w:ascii="Arial" w:eastAsia="Times New Roman" w:hAnsi="Arial" w:cs="Arial"/>
          <w:sz w:val="20"/>
          <w:szCs w:val="20"/>
        </w:rPr>
        <w:t>The number of people currently hospitalized with COVID-19 on June 1 was 1,329, two times as high as it was on May 1 at 651 individuals  </w:t>
      </w:r>
    </w:p>
    <w:p w14:paraId="74656BB3" w14:textId="77777777" w:rsidR="00307578" w:rsidRDefault="00307578" w:rsidP="00307578">
      <w:pPr>
        <w:numPr>
          <w:ilvl w:val="0"/>
          <w:numId w:val="2"/>
        </w:numPr>
        <w:spacing w:before="100" w:beforeAutospacing="1" w:after="100" w:afterAutospacing="1"/>
        <w:rPr>
          <w:rFonts w:eastAsia="Times New Roman"/>
        </w:rPr>
      </w:pPr>
      <w:r>
        <w:rPr>
          <w:rFonts w:ascii="Arial" w:eastAsia="Times New Roman" w:hAnsi="Arial" w:cs="Arial"/>
          <w:sz w:val="20"/>
          <w:szCs w:val="20"/>
        </w:rPr>
        <w:t>There were 591 deaths attributed to COVID-19 identified in the Pennsylvania death registry averaging about 19 deaths per day reported in May </w:t>
      </w:r>
    </w:p>
    <w:p w14:paraId="71E195D4" w14:textId="77777777" w:rsidR="00307578" w:rsidRDefault="00307578" w:rsidP="00307578">
      <w:pPr>
        <w:pStyle w:val="NormalWeb"/>
      </w:pPr>
      <w:r>
        <w:rPr>
          <w:rFonts w:ascii="Arial" w:hAnsi="Arial" w:cs="Arial"/>
          <w:sz w:val="20"/>
          <w:szCs w:val="20"/>
        </w:rPr>
        <w:t xml:space="preserve">The Department of Health continues to provide extensive data on a weekly basis via the </w:t>
      </w:r>
      <w:hyperlink r:id="rId6" w:tgtFrame="_blank" w:history="1">
        <w:r>
          <w:rPr>
            <w:rStyle w:val="Hyperlink"/>
            <w:rFonts w:ascii="Arial" w:hAnsi="Arial" w:cs="Arial"/>
            <w:sz w:val="20"/>
            <w:szCs w:val="20"/>
          </w:rPr>
          <w:t>COVID-19 dashboard</w:t>
        </w:r>
      </w:hyperlink>
      <w:r>
        <w:rPr>
          <w:rFonts w:ascii="Arial" w:hAnsi="Arial" w:cs="Arial"/>
          <w:sz w:val="20"/>
          <w:szCs w:val="20"/>
        </w:rPr>
        <w:t xml:space="preserve"> and the </w:t>
      </w:r>
      <w:hyperlink r:id="rId7" w:tgtFrame="_blank" w:history="1">
        <w:r>
          <w:rPr>
            <w:rStyle w:val="Hyperlink"/>
            <w:rFonts w:ascii="Arial" w:hAnsi="Arial" w:cs="Arial"/>
            <w:sz w:val="20"/>
            <w:szCs w:val="20"/>
          </w:rPr>
          <w:t>vaccine dashboard</w:t>
        </w:r>
      </w:hyperlink>
      <w:r>
        <w:rPr>
          <w:rFonts w:ascii="Arial" w:hAnsi="Arial" w:cs="Arial"/>
          <w:sz w:val="20"/>
          <w:szCs w:val="20"/>
        </w:rPr>
        <w:t xml:space="preserve">. All available dashboards provide an interactive experience for the user to review statewide and local-level data. The department also provides </w:t>
      </w:r>
      <w:hyperlink r:id="rId8" w:tgtFrame="_blank" w:history="1">
        <w:r>
          <w:rPr>
            <w:rStyle w:val="Hyperlink"/>
            <w:rFonts w:ascii="Arial" w:hAnsi="Arial" w:cs="Arial"/>
            <w:sz w:val="20"/>
            <w:szCs w:val="20"/>
          </w:rPr>
          <w:t>a dashboard</w:t>
        </w:r>
      </w:hyperlink>
      <w:r>
        <w:rPr>
          <w:rFonts w:ascii="Arial" w:hAnsi="Arial" w:cs="Arial"/>
          <w:sz w:val="20"/>
          <w:szCs w:val="20"/>
        </w:rPr>
        <w:t xml:space="preserve"> showing COVID-19 data for skilled nursing homes including case counts, deaths and vaccination status for residents and staff. All dashboards and </w:t>
      </w:r>
      <w:hyperlink r:id="rId9" w:tgtFrame="_blank" w:history="1">
        <w:proofErr w:type="spellStart"/>
        <w:r>
          <w:rPr>
            <w:rStyle w:val="Hyperlink"/>
            <w:rFonts w:ascii="Arial" w:hAnsi="Arial" w:cs="Arial"/>
            <w:sz w:val="20"/>
            <w:szCs w:val="20"/>
          </w:rPr>
          <w:t>OpenData</w:t>
        </w:r>
        <w:proofErr w:type="spellEnd"/>
      </w:hyperlink>
      <w:r>
        <w:rPr>
          <w:rFonts w:ascii="Arial" w:hAnsi="Arial" w:cs="Arial"/>
          <w:sz w:val="20"/>
          <w:szCs w:val="20"/>
        </w:rPr>
        <w:t xml:space="preserve"> resources will be updated on a weekly basis on Wednesdays.  </w:t>
      </w:r>
    </w:p>
    <w:p w14:paraId="763DE41E" w14:textId="77777777" w:rsidR="00307578" w:rsidRDefault="00307578" w:rsidP="00307578">
      <w:pPr>
        <w:pStyle w:val="NormalWeb"/>
      </w:pPr>
      <w:r>
        <w:rPr>
          <w:rFonts w:ascii="Arial" w:hAnsi="Arial" w:cs="Arial"/>
          <w:sz w:val="20"/>
          <w:szCs w:val="20"/>
        </w:rPr>
        <w:t xml:space="preserve">For more information on the Department of Health’s response to the COVID-19 pandemic, visit </w:t>
      </w:r>
      <w:hyperlink r:id="rId10" w:tgtFrame="_blank" w:history="1">
        <w:r>
          <w:rPr>
            <w:rStyle w:val="Hyperlink"/>
            <w:rFonts w:ascii="Arial" w:hAnsi="Arial" w:cs="Arial"/>
            <w:sz w:val="20"/>
            <w:szCs w:val="20"/>
          </w:rPr>
          <w:t>here</w:t>
        </w:r>
      </w:hyperlink>
      <w:r>
        <w:rPr>
          <w:rFonts w:ascii="Arial" w:hAnsi="Arial" w:cs="Arial"/>
          <w:sz w:val="20"/>
          <w:szCs w:val="20"/>
        </w:rPr>
        <w:t>.  </w:t>
      </w:r>
    </w:p>
    <w:p w14:paraId="3F6547B6" w14:textId="77777777" w:rsidR="00307578" w:rsidRDefault="00307578" w:rsidP="00307578">
      <w:pPr>
        <w:pStyle w:val="NormalWeb"/>
      </w:pPr>
      <w:r>
        <w:rPr>
          <w:rStyle w:val="Strong"/>
          <w:rFonts w:ascii="Arial" w:hAnsi="Arial" w:cs="Arial"/>
          <w:sz w:val="20"/>
          <w:szCs w:val="20"/>
        </w:rPr>
        <w:t>MEDIA CONTACT</w:t>
      </w:r>
      <w:r>
        <w:rPr>
          <w:rFonts w:ascii="Arial" w:hAnsi="Arial" w:cs="Arial"/>
          <w:sz w:val="20"/>
          <w:szCs w:val="20"/>
        </w:rPr>
        <w:t xml:space="preserve">: Mark O’Neill, </w:t>
      </w:r>
      <w:hyperlink r:id="rId11" w:history="1">
        <w:r>
          <w:rPr>
            <w:rStyle w:val="Hyperlink"/>
            <w:rFonts w:ascii="Arial" w:hAnsi="Arial" w:cs="Arial"/>
            <w:sz w:val="20"/>
            <w:szCs w:val="20"/>
          </w:rPr>
          <w:t>ra-dhpressoffice@pa.gov</w:t>
        </w:r>
      </w:hyperlink>
    </w:p>
    <w:p w14:paraId="2B7CF1DA" w14:textId="77777777" w:rsidR="00307578" w:rsidRDefault="00307578"/>
    <w:sectPr w:rsidR="00307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504D"/>
    <w:multiLevelType w:val="multilevel"/>
    <w:tmpl w:val="D0DC40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 w15:restartNumberingAfterBreak="0">
    <w:nsid w:val="181D5772"/>
    <w:multiLevelType w:val="multilevel"/>
    <w:tmpl w:val="E9E23C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232352686">
    <w:abstractNumId w:val="1"/>
    <w:lvlOverride w:ilvl="0"/>
    <w:lvlOverride w:ilvl="1"/>
    <w:lvlOverride w:ilvl="2"/>
    <w:lvlOverride w:ilvl="3"/>
    <w:lvlOverride w:ilvl="4"/>
    <w:lvlOverride w:ilvl="5"/>
    <w:lvlOverride w:ilvl="6"/>
    <w:lvlOverride w:ilvl="7"/>
    <w:lvlOverride w:ilvl="8"/>
  </w:num>
  <w:num w:numId="2" w16cid:durableId="196780635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78"/>
    <w:rsid w:val="0030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3587"/>
  <w15:chartTrackingRefBased/>
  <w15:docId w15:val="{AE865582-B52A-4630-AE2B-6E8F2B50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5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7578"/>
    <w:rPr>
      <w:color w:val="0000FF"/>
      <w:u w:val="single"/>
    </w:rPr>
  </w:style>
  <w:style w:type="paragraph" w:styleId="NormalWeb">
    <w:name w:val="Normal (Web)"/>
    <w:basedOn w:val="Normal"/>
    <w:uiPriority w:val="99"/>
    <w:semiHidden/>
    <w:unhideWhenUsed/>
    <w:rsid w:val="00307578"/>
    <w:pPr>
      <w:spacing w:before="100" w:beforeAutospacing="1" w:after="100" w:afterAutospacing="1"/>
    </w:pPr>
  </w:style>
  <w:style w:type="character" w:styleId="Strong">
    <w:name w:val="Strong"/>
    <w:basedOn w:val="DefaultParagraphFont"/>
    <w:uiPriority w:val="22"/>
    <w:qFormat/>
    <w:rsid w:val="00307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0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pcpa.memberclicks.net%2Fmessage2%2Flink%2Fe2c98e2f-a873-4398-9ca1-eb87936710da%2F4&amp;data=05%7C01%7Cvdimaio%40radnor.org%7C392a92b136e9404a103208da4a233542%7Cb321154193fc4b5cb1808f75e9cfe8b5%7C0%7C0%7C637903812323006386%7CUnknown%7CTWFpbGZsb3d8eyJWIjoiMC4wLjAwMDAiLCJQIjoiV2luMzIiLCJBTiI6Ik1haWwiLCJXVCI6Mn0%3D%7C3000%7C%7C%7C&amp;sdata=Gcvkpr5gbeVUFrut61Fp%2BlbOTg%2FaLpEVjiBY1%2FyIkBc%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3A%2F%2Fpcpa.memberclicks.net%2Fmessage2%2Flink%2Fe2c98e2f-a873-4398-9ca1-eb87936710da%2F3&amp;data=05%7C01%7Cvdimaio%40radnor.org%7C392a92b136e9404a103208da4a233542%7Cb321154193fc4b5cb1808f75e9cfe8b5%7C0%7C0%7C637903812323006386%7CUnknown%7CTWFpbGZsb3d8eyJWIjoiMC4wLjAwMDAiLCJQIjoiV2luMzIiLCJBTiI6Ik1haWwiLCJXVCI6Mn0%3D%7C3000%7C%7C%7C&amp;sdata=d5TU0yJLb5jUOFVodR3JeO8N%2FrSNtTQSEsbLl2L7tfY%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3A%2F%2Fpcpa.memberclicks.net%2Fmessage2%2Flink%2Fe2c98e2f-a873-4398-9ca1-eb87936710da%2F2&amp;data=05%7C01%7Cvdimaio%40radnor.org%7C392a92b136e9404a103208da4a233542%7Cb321154193fc4b5cb1808f75e9cfe8b5%7C0%7C0%7C637903812323006386%7CUnknown%7CTWFpbGZsb3d8eyJWIjoiMC4wLjAwMDAiLCJQIjoiV2luMzIiLCJBTiI6Ik1haWwiLCJXVCI6Mn0%3D%7C3000%7C%7C%7C&amp;sdata=Oz0vdvH9RWVuD4YMiySUHIMOkupp9%2B7ZP2iPpfiIyiM%3D&amp;reserved=0" TargetMode="External"/><Relationship Id="rId11" Type="http://schemas.openxmlformats.org/officeDocument/2006/relationships/hyperlink" Target="https://gcc02.safelinks.protection.outlook.com/?url=http%3A%2F%2Fpcpa.memberclicks.net%2Fmessage2%2Flink%2Fe2c98e2f-a873-4398-9ca1-eb87936710da%2F7&amp;data=05%7C01%7Cvdimaio%40radnor.org%7C392a92b136e9404a103208da4a233542%7Cb321154193fc4b5cb1808f75e9cfe8b5%7C0%7C0%7C637903812323006386%7CUnknown%7CTWFpbGZsb3d8eyJWIjoiMC4wLjAwMDAiLCJQIjoiV2luMzIiLCJBTiI6Ik1haWwiLCJXVCI6Mn0%3D%7C3000%7C%7C%7C&amp;sdata=3IwUGSAL%2FyXLkn753r%2B%2F%2BoXAHIiqATujZjQvnwV2ndA%3D&amp;reserved=0" TargetMode="External"/><Relationship Id="rId5" Type="http://schemas.openxmlformats.org/officeDocument/2006/relationships/hyperlink" Target="https://gcc02.safelinks.protection.outlook.com/?url=http%3A%2F%2Fpcpa.memberclicks.net%2Fmessage2%2Flink%2Fe2c98e2f-a873-4398-9ca1-eb87936710da%2F1&amp;data=05%7C01%7Cvdimaio%40radnor.org%7C392a92b136e9404a103208da4a233542%7Cb321154193fc4b5cb1808f75e9cfe8b5%7C0%7C0%7C637903812323006386%7CUnknown%7CTWFpbGZsb3d8eyJWIjoiMC4wLjAwMDAiLCJQIjoiV2luMzIiLCJBTiI6Ik1haWwiLCJXVCI6Mn0%3D%7C3000%7C%7C%7C&amp;sdata=pier14NEW%2F1%2FgMbtrzAzaf7gbnMuJZ44%2BEmjOkSP4YY%3D&amp;reserved=0" TargetMode="External"/><Relationship Id="rId10" Type="http://schemas.openxmlformats.org/officeDocument/2006/relationships/hyperlink" Target="https://gcc02.safelinks.protection.outlook.com/?url=http%3A%2F%2Fpcpa.memberclicks.net%2Fmessage2%2Flink%2Fe2c98e2f-a873-4398-9ca1-eb87936710da%2F6&amp;data=05%7C01%7Cvdimaio%40radnor.org%7C392a92b136e9404a103208da4a233542%7Cb321154193fc4b5cb1808f75e9cfe8b5%7C0%7C0%7C637903812323006386%7CUnknown%7CTWFpbGZsb3d8eyJWIjoiMC4wLjAwMDAiLCJQIjoiV2luMzIiLCJBTiI6Ik1haWwiLCJXVCI6Mn0%3D%7C3000%7C%7C%7C&amp;sdata=3lPcXwiQlhgDC3nE4iJFUyNK9WQdy%2FTaXgCDeY7bzTw%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3A%2F%2Fpcpa.memberclicks.net%2Fmessage2%2Flink%2Fe2c98e2f-a873-4398-9ca1-eb87936710da%2F5&amp;data=05%7C01%7Cvdimaio%40radnor.org%7C392a92b136e9404a103208da4a233542%7Cb321154193fc4b5cb1808f75e9cfe8b5%7C0%7C0%7C637903812323006386%7CUnknown%7CTWFpbGZsb3d8eyJWIjoiMC4wLjAwMDAiLCJQIjoiV2luMzIiLCJBTiI6Ik1haWwiLCJXVCI6Mn0%3D%7C3000%7C%7C%7C&amp;sdata=6AQVp3Xan8tiOyWsJW9JJm4aLtW1i60TSHQlvAxQUu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DiMaio</dc:creator>
  <cp:keywords/>
  <dc:description/>
  <cp:lastModifiedBy>Vera DiMaio</cp:lastModifiedBy>
  <cp:revision>1</cp:revision>
  <dcterms:created xsi:type="dcterms:W3CDTF">2022-06-21T12:43:00Z</dcterms:created>
  <dcterms:modified xsi:type="dcterms:W3CDTF">2022-06-21T12:43:00Z</dcterms:modified>
</cp:coreProperties>
</file>